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0" w:leftChars="0" w:firstLine="0" w:firstLineChars="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w:t>
      </w:r>
    </w:p>
    <w:p>
      <w:pPr>
        <w:pStyle w:val="8"/>
        <w:tabs>
          <w:tab w:val="left" w:pos="993"/>
          <w:tab w:val="left" w:pos="1260"/>
          <w:tab w:val="left" w:pos="1480"/>
        </w:tabs>
        <w:spacing w:line="600" w:lineRule="exact"/>
        <w:ind w:firstLine="0" w:firstLineChars="0"/>
        <w:jc w:val="center"/>
        <w:rPr>
          <w:rFonts w:hint="eastAsia" w:ascii="方正小标宋简体" w:hAnsi="方正小标宋简体" w:eastAsia="方正小标宋简体" w:cs="方正小标宋简体"/>
          <w:b w:val="0"/>
          <w:bCs w:val="0"/>
          <w:kern w:val="0"/>
          <w:sz w:val="44"/>
          <w:szCs w:val="44"/>
          <w:lang w:val="en-US" w:eastAsia="zh-CN" w:bidi="ar"/>
        </w:rPr>
      </w:pPr>
      <w:bookmarkStart w:id="1" w:name="_GoBack"/>
      <w:r>
        <w:rPr>
          <w:rFonts w:hint="eastAsia" w:ascii="方正小标宋简体" w:hAnsi="方正小标宋简体" w:eastAsia="方正小标宋简体" w:cs="方正小标宋简体"/>
          <w:b w:val="0"/>
          <w:bCs w:val="0"/>
          <w:kern w:val="0"/>
          <w:sz w:val="44"/>
          <w:szCs w:val="44"/>
          <w:lang w:val="en-US" w:eastAsia="zh-CN" w:bidi="ar"/>
        </w:rPr>
        <w:t>宁波大学科学技术学院科技成果转化公示异议处理程序及办法（暂行）</w:t>
      </w:r>
    </w:p>
    <w:bookmarkEnd w:id="1"/>
    <w:p>
      <w:pPr>
        <w:pStyle w:val="7"/>
        <w:rPr>
          <w:rFonts w:hint="eastAsia"/>
          <w:lang w:val="en-US" w:eastAsia="zh-CN"/>
        </w:rPr>
      </w:pPr>
    </w:p>
    <w:p>
      <w:pPr>
        <w:pStyle w:val="8"/>
        <w:keepNext w:val="0"/>
        <w:keepLines w:val="0"/>
        <w:pageBreakBefore w:val="0"/>
        <w:widowControl w:val="0"/>
        <w:tabs>
          <w:tab w:val="left" w:pos="993"/>
          <w:tab w:val="left" w:pos="1260"/>
          <w:tab w:val="left" w:pos="1480"/>
        </w:tabs>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一、异议人应为宁波大学</w:t>
      </w:r>
      <w:bookmarkStart w:id="0" w:name="_Hlk33259413"/>
      <w:r>
        <w:rPr>
          <w:rFonts w:hint="eastAsia" w:ascii="仿宋" w:hAnsi="仿宋" w:eastAsia="仿宋" w:cs="仿宋"/>
          <w:kern w:val="0"/>
          <w:sz w:val="32"/>
          <w:szCs w:val="32"/>
          <w:lang w:val="en-US" w:eastAsia="zh-CN" w:bidi="ar"/>
        </w:rPr>
        <w:t>科学技术学院</w:t>
      </w:r>
      <w:bookmarkEnd w:id="0"/>
      <w:r>
        <w:rPr>
          <w:rFonts w:hint="eastAsia" w:ascii="仿宋" w:hAnsi="仿宋" w:eastAsia="仿宋" w:cs="仿宋"/>
          <w:kern w:val="0"/>
          <w:sz w:val="32"/>
          <w:szCs w:val="32"/>
          <w:lang w:val="en-US" w:eastAsia="zh-CN" w:bidi="ar"/>
        </w:rPr>
        <w:t>在职员工、全日制学生。异议人必须在公示期内向科研部/学科建设办公室提交异议材料及有关证据。</w:t>
      </w:r>
    </w:p>
    <w:p>
      <w:pPr>
        <w:pStyle w:val="8"/>
        <w:keepNext w:val="0"/>
        <w:keepLines w:val="0"/>
        <w:pageBreakBefore w:val="0"/>
        <w:widowControl w:val="0"/>
        <w:tabs>
          <w:tab w:val="left" w:pos="993"/>
          <w:tab w:val="left" w:pos="1260"/>
          <w:tab w:val="left" w:pos="1480"/>
        </w:tabs>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二、科研部/学科建设办公室收到异议书及有关证据后，将异议书副本通知被异议人，被异议人应在收到异议书之日起7日内作出书面答辩。被异议人在期限内未做答辩的视为弃权，不影响异议程序进行。</w:t>
      </w:r>
    </w:p>
    <w:p>
      <w:pPr>
        <w:pStyle w:val="8"/>
        <w:keepNext w:val="0"/>
        <w:keepLines w:val="0"/>
        <w:pageBreakBefore w:val="0"/>
        <w:widowControl w:val="0"/>
        <w:tabs>
          <w:tab w:val="left" w:pos="993"/>
          <w:tab w:val="left" w:pos="1260"/>
          <w:tab w:val="left" w:pos="1480"/>
        </w:tabs>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三、科研部/学科建设办公室对异议人和被异议人所提出的事实与理由进行调查核实，必要时可由科研部/学科建设办公室会同二级学院（部门）组织专家论证，调查情况提交科研部/学科建设办公室作出异议处理决定，并告知异议人和被异议人。异议裁定有两种结果：</w:t>
      </w:r>
    </w:p>
    <w:p>
      <w:pPr>
        <w:pStyle w:val="8"/>
        <w:keepNext w:val="0"/>
        <w:keepLines w:val="0"/>
        <w:pageBreakBefore w:val="0"/>
        <w:widowControl w:val="0"/>
        <w:numPr>
          <w:ilvl w:val="0"/>
          <w:numId w:val="1"/>
        </w:numPr>
        <w:tabs>
          <w:tab w:val="left" w:pos="993"/>
        </w:tabs>
        <w:kinsoku/>
        <w:wordWrap/>
        <w:overflowPunct/>
        <w:topLinePunct w:val="0"/>
        <w:autoSpaceDE/>
        <w:autoSpaceDN/>
        <w:bidi w:val="0"/>
        <w:adjustRightInd/>
        <w:snapToGrid/>
        <w:spacing w:line="520" w:lineRule="exact"/>
        <w:ind w:left="6"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异议不成立，确认当次科技成果转化有效；</w:t>
      </w:r>
    </w:p>
    <w:p>
      <w:pPr>
        <w:pStyle w:val="8"/>
        <w:keepNext w:val="0"/>
        <w:keepLines w:val="0"/>
        <w:pageBreakBefore w:val="0"/>
        <w:widowControl w:val="0"/>
        <w:numPr>
          <w:ilvl w:val="0"/>
          <w:numId w:val="1"/>
        </w:numPr>
        <w:tabs>
          <w:tab w:val="left" w:pos="993"/>
        </w:tabs>
        <w:kinsoku/>
        <w:wordWrap/>
        <w:overflowPunct/>
        <w:topLinePunct w:val="0"/>
        <w:autoSpaceDE/>
        <w:autoSpaceDN/>
        <w:bidi w:val="0"/>
        <w:adjustRightInd/>
        <w:snapToGrid/>
        <w:spacing w:line="520" w:lineRule="exact"/>
        <w:ind w:left="6"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异议成立，当次科技成果转化中止。</w:t>
      </w:r>
    </w:p>
    <w:p>
      <w:pPr>
        <w:keepNext w:val="0"/>
        <w:keepLines w:val="0"/>
        <w:pageBreakBefore w:val="0"/>
        <w:widowControl w:val="0"/>
        <w:tabs>
          <w:tab w:val="left" w:pos="993"/>
        </w:tabs>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仿宋_GB2312"/>
          <w:kern w:val="0"/>
          <w:sz w:val="32"/>
          <w:szCs w:val="32"/>
          <w:lang w:val="en-US" w:eastAsia="zh-CN" w:bidi="ar"/>
        </w:rPr>
      </w:pPr>
      <w:r>
        <w:rPr>
          <w:rFonts w:hint="eastAsia" w:ascii="仿宋" w:hAnsi="仿宋" w:eastAsia="仿宋" w:cs="仿宋"/>
          <w:kern w:val="0"/>
          <w:sz w:val="32"/>
          <w:szCs w:val="32"/>
          <w:lang w:val="en-US" w:eastAsia="zh-CN" w:bidi="ar"/>
        </w:rPr>
        <w:t>如果异议当事人中任何一方对处理决定不服，可以在收到异议裁定通知书日起7日内，向科研部/学科建设办公室提出，报党政联席会最终审定。</w:t>
      </w:r>
    </w:p>
    <w:p>
      <w:pPr>
        <w:tabs>
          <w:tab w:val="left" w:pos="993"/>
        </w:tabs>
        <w:spacing w:line="520" w:lineRule="exact"/>
        <w:ind w:firstLine="566" w:firstLineChars="177"/>
        <w:rPr>
          <w:rFonts w:hint="eastAsia" w:ascii="仿宋_GB2312" w:hAnsi="Calibri" w:eastAsia="仿宋_GB2312" w:cs="仿宋_GB2312"/>
          <w:kern w:val="0"/>
          <w:sz w:val="32"/>
          <w:szCs w:val="32"/>
          <w:lang w:val="en-US" w:eastAsia="zh-CN" w:bidi="ar"/>
        </w:rPr>
      </w:pPr>
    </w:p>
    <w:p/>
    <w:sectPr>
      <w:footerReference r:id="rId3" w:type="default"/>
      <w:pgSz w:w="11906" w:h="16838"/>
      <w:pgMar w:top="1440" w:right="1800" w:bottom="1440" w:left="1800" w:header="851" w:footer="1191"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D355B6"/>
    <w:multiLevelType w:val="multilevel"/>
    <w:tmpl w:val="37D355B6"/>
    <w:lvl w:ilvl="0" w:tentative="0">
      <w:start w:val="1"/>
      <w:numFmt w:val="decimal"/>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56442"/>
    <w:rsid w:val="02C56442"/>
    <w:rsid w:val="54481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样式2"/>
    <w:basedOn w:val="3"/>
    <w:next w:val="1"/>
    <w:uiPriority w:val="0"/>
    <w:rPr>
      <w:rFonts w:ascii="Times New Roman" w:hAnsi="Times New Roman" w:eastAsia="宋体" w:cs="Times New Roman"/>
    </w:rPr>
  </w:style>
  <w:style w:type="paragraph" w:styleId="7">
    <w:name w:val="List Paragraph"/>
    <w:basedOn w:val="1"/>
    <w:qFormat/>
    <w:uiPriority w:val="34"/>
    <w:pPr>
      <w:ind w:firstLine="420" w:firstLineChars="200"/>
    </w:pPr>
  </w:style>
  <w:style w:type="paragraph" w:customStyle="1" w:styleId="8">
    <w:name w:val="_Style 8"/>
    <w:basedOn w:val="1"/>
    <w:next w:val="7"/>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2021-11-01T07:15:00Z</dcterms:created>
  <dc:creator>慧慧</dc:creator>
  <cp:lastModifiedBy>慧慧</cp:lastModifiedBy>
  <dcterms:modified xsi:type="dcterms:W3CDTF">2021-11-01T07:15:52Z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CECBCD7EEB7242E4B7051F82F0C51DE7</vt:lpwstr>
  </property>
</Properties>
</file>