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rPr>
        <w:t>宁波大学科学技术学院重点学科</w:t>
      </w:r>
    </w:p>
    <w:p>
      <w:pPr>
        <w:spacing w:line="600" w:lineRule="exact"/>
        <w:jc w:val="center"/>
        <w:rPr>
          <w:rFonts w:hint="eastAsia" w:ascii="方正小标宋简体" w:hAnsi="仿宋_GB2312" w:eastAsia="方正小标宋简体" w:cs="仿宋_GB2312"/>
          <w:sz w:val="44"/>
          <w:szCs w:val="44"/>
        </w:rPr>
      </w:pPr>
      <w:bookmarkStart w:id="0" w:name="_GoBack"/>
      <w:r>
        <w:rPr>
          <w:rFonts w:hint="eastAsia" w:ascii="方正小标宋简体" w:hAnsi="仿宋_GB2312" w:eastAsia="方正小标宋简体" w:cs="仿宋_GB2312"/>
          <w:sz w:val="44"/>
          <w:szCs w:val="44"/>
        </w:rPr>
        <w:t>（专业学位硕士点）培育项目专项经费投入与管理办法</w:t>
      </w:r>
    </w:p>
    <w:bookmarkEnd w:id="0"/>
    <w:p>
      <w:pPr>
        <w:spacing w:line="520" w:lineRule="exact"/>
        <w:jc w:val="center"/>
        <w:rPr>
          <w:rFonts w:hint="eastAsia" w:ascii="方正小标宋简体" w:hAnsi="仿宋_GB2312" w:eastAsia="方正小标宋简体" w:cs="仿宋_GB2312"/>
          <w:sz w:val="44"/>
          <w:szCs w:val="44"/>
        </w:rPr>
      </w:pPr>
    </w:p>
    <w:p>
      <w:pPr>
        <w:jc w:val="center"/>
        <w:rPr>
          <w:rFonts w:ascii="黑体" w:hAnsi="黑体" w:eastAsia="黑体" w:cs="仿宋_GB2312"/>
          <w:b w:val="0"/>
          <w:bCs w:val="0"/>
          <w:sz w:val="32"/>
          <w:szCs w:val="32"/>
        </w:rPr>
      </w:pPr>
      <w:r>
        <w:rPr>
          <w:rFonts w:hint="eastAsia" w:ascii="黑体" w:hAnsi="黑体" w:eastAsia="黑体" w:cs="仿宋_GB2312"/>
          <w:b w:val="0"/>
          <w:bCs w:val="0"/>
          <w:sz w:val="32"/>
          <w:szCs w:val="32"/>
        </w:rPr>
        <w:t>第一章</w:t>
      </w:r>
      <w:r>
        <w:rPr>
          <w:rFonts w:hint="eastAsia" w:ascii="黑体" w:hAnsi="黑体" w:eastAsia="黑体" w:cs="仿宋_GB2312"/>
          <w:b w:val="0"/>
          <w:bCs w:val="0"/>
          <w:sz w:val="32"/>
          <w:szCs w:val="32"/>
          <w:lang w:val="en-US" w:eastAsia="zh-CN"/>
        </w:rPr>
        <w:t xml:space="preserve">  </w:t>
      </w:r>
      <w:r>
        <w:rPr>
          <w:rFonts w:hint="eastAsia" w:ascii="黑体" w:hAnsi="黑体" w:eastAsia="黑体" w:cs="仿宋_GB2312"/>
          <w:b w:val="0"/>
          <w:bCs w:val="0"/>
          <w:sz w:val="32"/>
          <w:szCs w:val="32"/>
        </w:rPr>
        <w:t>总</w:t>
      </w:r>
      <w:r>
        <w:rPr>
          <w:rFonts w:hint="eastAsia" w:ascii="黑体" w:hAnsi="黑体" w:eastAsia="黑体" w:cs="仿宋_GB2312"/>
          <w:b w:val="0"/>
          <w:bCs w:val="0"/>
          <w:sz w:val="32"/>
          <w:szCs w:val="32"/>
          <w:lang w:val="en-US" w:eastAsia="zh-CN"/>
        </w:rPr>
        <w:t xml:space="preserve"> </w:t>
      </w:r>
      <w:r>
        <w:rPr>
          <w:rFonts w:hint="eastAsia" w:ascii="黑体" w:hAnsi="黑体" w:eastAsia="黑体" w:cs="仿宋_GB2312"/>
          <w:b w:val="0"/>
          <w:bCs w:val="0"/>
          <w:sz w:val="32"/>
          <w:szCs w:val="32"/>
        </w:rPr>
        <w:t>则</w:t>
      </w:r>
    </w:p>
    <w:p>
      <w:pPr>
        <w:spacing w:line="520" w:lineRule="exact"/>
        <w:ind w:firstLine="640" w:firstLineChars="200"/>
        <w:jc w:val="both"/>
        <w:rPr>
          <w:rFonts w:ascii="仿宋" w:hAnsi="仿宋" w:eastAsia="仿宋" w:cs="仿宋_GB2312"/>
          <w:sz w:val="32"/>
          <w:szCs w:val="32"/>
        </w:rPr>
      </w:pPr>
      <w:r>
        <w:rPr>
          <w:rFonts w:hint="eastAsia" w:ascii="仿宋" w:hAnsi="仿宋" w:eastAsia="仿宋" w:cs="仿宋_GB2312"/>
          <w:b w:val="0"/>
          <w:bCs w:val="0"/>
          <w:sz w:val="32"/>
          <w:szCs w:val="32"/>
        </w:rPr>
        <w:t>第一条</w:t>
      </w:r>
      <w:r>
        <w:rPr>
          <w:rFonts w:hint="eastAsia" w:ascii="仿宋" w:hAnsi="仿宋" w:eastAsia="仿宋" w:cs="仿宋_GB2312"/>
          <w:b/>
          <w:bCs/>
          <w:sz w:val="32"/>
          <w:szCs w:val="32"/>
          <w:lang w:val="en-US" w:eastAsia="zh-CN"/>
        </w:rPr>
        <w:t xml:space="preserve">  </w:t>
      </w:r>
      <w:r>
        <w:rPr>
          <w:rFonts w:hint="eastAsia" w:ascii="仿宋" w:hAnsi="仿宋" w:eastAsia="仿宋" w:cs="仿宋_GB2312"/>
          <w:sz w:val="32"/>
          <w:szCs w:val="32"/>
        </w:rPr>
        <w:t>为规范和加强学院重点学科（专业学位硕士点）（以下简称“培育项目”）建设与管理，保证培育项目建设规划的顺利实施和建设目标的实现，规范培育项目建设经费的使用，提高其资金配置效率和使用效益，根据学院相关管理规定及财务有关制度，特制定本办法。</w:t>
      </w:r>
    </w:p>
    <w:p>
      <w:pPr>
        <w:numPr>
          <w:ilvl w:val="0"/>
          <w:numId w:val="1"/>
        </w:numPr>
        <w:spacing w:line="52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 xml:space="preserve"> 使用该专项经费形成的资产都属于国有资产，均要纳入学院资产统一管理，做到资源共享，充分利用。凡纳入政府采购的支出项目，都必须按照《中华人民共和国政府采购法》有关规定，实施政府采购。</w:t>
      </w:r>
    </w:p>
    <w:p>
      <w:pPr>
        <w:numPr>
          <w:ilvl w:val="0"/>
          <w:numId w:val="1"/>
        </w:numPr>
        <w:spacing w:line="52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 xml:space="preserve"> 经费使用和管理的原则：科学规划、规范管理、专款专用、注重绩效。</w:t>
      </w:r>
    </w:p>
    <w:p>
      <w:pPr>
        <w:spacing w:line="240" w:lineRule="auto"/>
        <w:jc w:val="center"/>
        <w:rPr>
          <w:rFonts w:hint="eastAsia" w:ascii="黑体" w:hAnsi="黑体" w:eastAsia="黑体" w:cs="仿宋_GB2312"/>
          <w:b w:val="0"/>
          <w:bCs w:val="0"/>
          <w:sz w:val="32"/>
          <w:szCs w:val="32"/>
        </w:rPr>
      </w:pPr>
      <w:r>
        <w:rPr>
          <w:rFonts w:hint="eastAsia" w:ascii="黑体" w:hAnsi="黑体" w:eastAsia="黑体" w:cs="仿宋_GB2312"/>
          <w:b w:val="0"/>
          <w:bCs w:val="0"/>
          <w:sz w:val="32"/>
          <w:szCs w:val="32"/>
        </w:rPr>
        <w:t>第二章  </w:t>
      </w:r>
      <w:r>
        <w:rPr>
          <w:rFonts w:hint="eastAsia" w:ascii="黑体" w:hAnsi="黑体" w:eastAsia="黑体" w:cs="仿宋_GB2312"/>
          <w:b w:val="0"/>
          <w:bCs w:val="0"/>
          <w:sz w:val="32"/>
          <w:szCs w:val="32"/>
          <w:lang w:val="en-US" w:eastAsia="zh-CN"/>
        </w:rPr>
        <w:t xml:space="preserve"> </w:t>
      </w:r>
      <w:r>
        <w:rPr>
          <w:rFonts w:hint="eastAsia" w:ascii="黑体" w:hAnsi="黑体" w:eastAsia="黑体" w:cs="仿宋_GB2312"/>
          <w:b w:val="0"/>
          <w:bCs w:val="0"/>
          <w:sz w:val="32"/>
          <w:szCs w:val="32"/>
        </w:rPr>
        <w:t>经费分配标准</w:t>
      </w:r>
    </w:p>
    <w:p>
      <w:pPr>
        <w:numPr>
          <w:ilvl w:val="0"/>
          <w:numId w:val="1"/>
        </w:numPr>
        <w:spacing w:line="520" w:lineRule="exact"/>
        <w:ind w:firstLine="561"/>
        <w:rPr>
          <w:rFonts w:ascii="仿宋" w:hAnsi="仿宋" w:eastAsia="仿宋" w:cs="仿宋_GB2312"/>
          <w:sz w:val="32"/>
          <w:szCs w:val="32"/>
        </w:rPr>
      </w:pPr>
      <w:r>
        <w:rPr>
          <w:rFonts w:hint="eastAsia" w:ascii="仿宋_GB2312" w:hAnsi="仿宋_GB2312" w:eastAsia="仿宋_GB2312" w:cs="仿宋_GB2312"/>
          <w:sz w:val="32"/>
          <w:szCs w:val="32"/>
        </w:rPr>
        <w:t xml:space="preserve"> </w:t>
      </w:r>
      <w:r>
        <w:rPr>
          <w:rFonts w:hint="eastAsia" w:ascii="仿宋" w:hAnsi="仿宋" w:eastAsia="仿宋" w:cs="仿宋_GB2312"/>
          <w:sz w:val="32"/>
          <w:szCs w:val="32"/>
        </w:rPr>
        <w:t>培育项目建设经费以现有的层次和类型为依据，按自然科学A类每年1000万元，人文社科A类每年500万元；自然科学B类每年400万元，人文社科B类每年200万元投入相应培育点。</w:t>
      </w:r>
    </w:p>
    <w:p>
      <w:pPr>
        <w:numPr>
          <w:ilvl w:val="0"/>
          <w:numId w:val="1"/>
        </w:numPr>
        <w:spacing w:line="520" w:lineRule="exact"/>
        <w:ind w:firstLine="561"/>
        <w:rPr>
          <w:rFonts w:ascii="仿宋" w:hAnsi="仿宋" w:eastAsia="仿宋" w:cs="仿宋_GB2312"/>
          <w:sz w:val="32"/>
          <w:szCs w:val="32"/>
        </w:rPr>
      </w:pPr>
      <w:r>
        <w:rPr>
          <w:rFonts w:hint="eastAsia" w:ascii="仿宋" w:hAnsi="仿宋" w:eastAsia="仿宋" w:cs="仿宋_GB2312"/>
          <w:sz w:val="32"/>
          <w:szCs w:val="32"/>
        </w:rPr>
        <w:t xml:space="preserve"> 培育项目专项经费第一年全额下拨，第二年起根据具体建设成效下拨。</w:t>
      </w:r>
    </w:p>
    <w:p>
      <w:pPr>
        <w:numPr>
          <w:ilvl w:val="0"/>
          <w:numId w:val="0"/>
        </w:numPr>
        <w:spacing w:line="240" w:lineRule="auto"/>
        <w:jc w:val="center"/>
        <w:rPr>
          <w:rFonts w:hint="eastAsia" w:ascii="黑体" w:hAnsi="黑体" w:eastAsia="黑体" w:cs="仿宋_GB2312"/>
          <w:b w:val="0"/>
          <w:bCs w:val="0"/>
          <w:sz w:val="32"/>
          <w:szCs w:val="32"/>
        </w:rPr>
      </w:pPr>
      <w:r>
        <w:rPr>
          <w:rFonts w:hint="eastAsia" w:ascii="黑体" w:hAnsi="黑体" w:eastAsia="黑体" w:cs="仿宋_GB2312"/>
          <w:b w:val="0"/>
          <w:bCs w:val="0"/>
          <w:sz w:val="32"/>
          <w:szCs w:val="32"/>
        </w:rPr>
        <w:t>第</w:t>
      </w:r>
      <w:r>
        <w:rPr>
          <w:rFonts w:hint="eastAsia" w:ascii="黑体" w:hAnsi="黑体" w:eastAsia="黑体" w:cs="仿宋_GB2312"/>
          <w:b w:val="0"/>
          <w:bCs w:val="0"/>
          <w:sz w:val="32"/>
          <w:szCs w:val="32"/>
          <w:lang w:val="en-US" w:eastAsia="zh-CN"/>
        </w:rPr>
        <w:t>三</w:t>
      </w:r>
      <w:r>
        <w:rPr>
          <w:rFonts w:hint="eastAsia" w:ascii="黑体" w:hAnsi="黑体" w:eastAsia="黑体" w:cs="仿宋_GB2312"/>
          <w:b w:val="0"/>
          <w:bCs w:val="0"/>
          <w:sz w:val="32"/>
          <w:szCs w:val="32"/>
        </w:rPr>
        <w:t>章</w:t>
      </w:r>
      <w:r>
        <w:rPr>
          <w:rFonts w:hint="eastAsia" w:ascii="黑体" w:hAnsi="黑体" w:eastAsia="黑体" w:cs="仿宋_GB2312"/>
          <w:b w:val="0"/>
          <w:bCs w:val="0"/>
          <w:sz w:val="32"/>
          <w:szCs w:val="32"/>
          <w:lang w:val="en-US" w:eastAsia="zh-CN"/>
        </w:rPr>
        <w:t xml:space="preserve">  </w:t>
      </w:r>
      <w:r>
        <w:rPr>
          <w:rFonts w:hint="eastAsia" w:ascii="黑体" w:hAnsi="黑体" w:eastAsia="黑体" w:cs="仿宋_GB2312"/>
          <w:b w:val="0"/>
          <w:bCs w:val="0"/>
          <w:sz w:val="32"/>
          <w:szCs w:val="32"/>
        </w:rPr>
        <w:t>预算管理与支出范围</w:t>
      </w:r>
    </w:p>
    <w:p>
      <w:pPr>
        <w:numPr>
          <w:ilvl w:val="0"/>
          <w:numId w:val="1"/>
        </w:numPr>
        <w:spacing w:line="520" w:lineRule="exact"/>
        <w:ind w:firstLine="643"/>
        <w:rPr>
          <w:rFonts w:ascii="仿宋" w:hAnsi="仿宋" w:eastAsia="仿宋" w:cs="仿宋_GB2312"/>
          <w:sz w:val="32"/>
          <w:szCs w:val="32"/>
        </w:rPr>
      </w:pPr>
      <w:r>
        <w:rPr>
          <w:rFonts w:hint="eastAsia" w:ascii="仿宋" w:hAnsi="仿宋" w:eastAsia="仿宋" w:cs="仿宋_GB2312"/>
          <w:b/>
          <w:bCs/>
          <w:sz w:val="32"/>
          <w:szCs w:val="32"/>
        </w:rPr>
        <w:t xml:space="preserve"> </w:t>
      </w:r>
      <w:r>
        <w:rPr>
          <w:rFonts w:hint="eastAsia" w:ascii="仿宋" w:hAnsi="仿宋" w:eastAsia="仿宋" w:cs="仿宋_GB2312"/>
          <w:sz w:val="32"/>
          <w:szCs w:val="32"/>
        </w:rPr>
        <w:t>培育项目应根据“十四五”学科建设与科学研究专项发展规划编制项目专项经费预算。项目经费预算报学科建设办公室，经党政联席会通过后方可执行。</w:t>
      </w:r>
    </w:p>
    <w:p>
      <w:pPr>
        <w:numPr>
          <w:ilvl w:val="0"/>
          <w:numId w:val="1"/>
        </w:numPr>
        <w:spacing w:line="520" w:lineRule="exact"/>
        <w:ind w:firstLine="560"/>
        <w:rPr>
          <w:rFonts w:ascii="仿宋" w:hAnsi="仿宋" w:eastAsia="仿宋" w:cs="仿宋_GB2312"/>
          <w:sz w:val="32"/>
          <w:szCs w:val="32"/>
        </w:rPr>
      </w:pPr>
      <w:r>
        <w:rPr>
          <w:rFonts w:hint="eastAsia" w:ascii="仿宋" w:hAnsi="仿宋" w:eastAsia="仿宋" w:cs="仿宋_GB2312"/>
          <w:sz w:val="32"/>
          <w:szCs w:val="32"/>
        </w:rPr>
        <w:t xml:space="preserve"> 培育项目经费主要用于学科人才培养、师资队伍建设、创新平台建设、科学研究与社会服务、国内外交流与合作等方面的支出。各项经费支出范围包括：</w:t>
      </w:r>
    </w:p>
    <w:p>
      <w:pPr>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（一）人才培养经费主要用于学生参加国内外学术交流和访学活动、发表高水平学术成果、参与科技创新活动和学科竞赛，原则上不超过建设经费的2</w:t>
      </w:r>
      <w:r>
        <w:rPr>
          <w:rFonts w:ascii="仿宋" w:hAnsi="仿宋" w:eastAsia="仿宋" w:cs="仿宋_GB2312"/>
          <w:sz w:val="32"/>
          <w:szCs w:val="32"/>
        </w:rPr>
        <w:t>%</w:t>
      </w:r>
      <w:r>
        <w:rPr>
          <w:rFonts w:hint="eastAsia" w:ascii="仿宋" w:hAnsi="仿宋" w:eastAsia="仿宋" w:cs="仿宋_GB2312"/>
          <w:sz w:val="32"/>
          <w:szCs w:val="32"/>
        </w:rPr>
        <w:t>；</w:t>
      </w:r>
    </w:p>
    <w:p>
      <w:pPr>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（二）师资队伍建设经费重点用于引进本学科高层次人才科研启动费，学科成员学习、进修与培训，学科团队建设等；</w:t>
      </w:r>
    </w:p>
    <w:p>
      <w:pPr>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（三）创新平台建设经费主要用于实验室新建和改造、专用仪器设备购置和维护、专业软件数据库购置，以及相关大型仪器设备等运行所需的材料费，发生的可单独计量的水、电、气、燃料消耗费用等支出；</w:t>
      </w:r>
    </w:p>
    <w:p>
      <w:pPr>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（四）科学研究与社会服务经费主要用于学科成员国家级科研项目培育、发表本学科领域高水平期刊论文、出版著作、申请专利等，原则上不超过建设经费的8</w:t>
      </w:r>
      <w:r>
        <w:rPr>
          <w:rFonts w:ascii="仿宋" w:hAnsi="仿宋" w:eastAsia="仿宋" w:cs="仿宋_GB2312"/>
          <w:sz w:val="32"/>
          <w:szCs w:val="32"/>
        </w:rPr>
        <w:t>%</w:t>
      </w:r>
      <w:r>
        <w:rPr>
          <w:rFonts w:hint="eastAsia" w:ascii="仿宋" w:hAnsi="仿宋" w:eastAsia="仿宋" w:cs="仿宋_GB2312"/>
          <w:sz w:val="32"/>
          <w:szCs w:val="32"/>
        </w:rPr>
        <w:t>；</w:t>
      </w:r>
    </w:p>
    <w:p>
      <w:pPr>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（五）国内外交流与合作经费主要用于学科成员参加国内外学术报告、会议、研讨等学术交流活动，主办或承办国内外学术会议等，原则上不超过建设经费的5</w:t>
      </w:r>
      <w:r>
        <w:rPr>
          <w:rFonts w:ascii="仿宋" w:hAnsi="仿宋" w:eastAsia="仿宋" w:cs="仿宋_GB2312"/>
          <w:sz w:val="32"/>
          <w:szCs w:val="32"/>
        </w:rPr>
        <w:t>%</w:t>
      </w:r>
      <w:r>
        <w:rPr>
          <w:rFonts w:hint="eastAsia" w:ascii="仿宋" w:hAnsi="仿宋" w:eastAsia="仿宋" w:cs="仿宋_GB2312"/>
          <w:sz w:val="32"/>
          <w:szCs w:val="32"/>
        </w:rPr>
        <w:t>。</w:t>
      </w:r>
    </w:p>
    <w:p>
      <w:pPr>
        <w:spacing w:line="520" w:lineRule="exact"/>
        <w:ind w:firstLine="640" w:firstLineChars="200"/>
        <w:rPr>
          <w:rFonts w:ascii="仿宋" w:hAnsi="仿宋" w:eastAsia="仿宋" w:cs="仿宋_GB2312"/>
          <w:sz w:val="32"/>
          <w:szCs w:val="32"/>
        </w:rPr>
      </w:pPr>
      <w:r>
        <w:rPr>
          <w:rFonts w:hint="eastAsia" w:ascii="仿宋" w:hAnsi="仿宋" w:eastAsia="仿宋" w:cs="仿宋_GB2312"/>
          <w:b w:val="0"/>
          <w:bCs w:val="0"/>
          <w:sz w:val="32"/>
          <w:szCs w:val="32"/>
        </w:rPr>
        <w:t>第八条</w:t>
      </w:r>
      <w:r>
        <w:rPr>
          <w:rFonts w:hint="eastAsia" w:ascii="仿宋" w:hAnsi="仿宋" w:eastAsia="仿宋" w:cs="仿宋_GB2312"/>
          <w:sz w:val="32"/>
          <w:szCs w:val="32"/>
        </w:rPr>
        <w:t xml:space="preserve">  培育项目建设专项经费支出必须严格遵守财政部、教育部等上级部门相关管理办法和学院财务管理规定。该经费原则上不得用于基本建设支出，不得用于与培育项目无关的日常公用经费开支，不得列支研究生导师招生资助费用，不得用于发放教职工个人工资福利、学生资助补助、各类奖励性及劳务性支出，不得用于按照上级部门规定不得列支的其他支出。</w:t>
      </w:r>
    </w:p>
    <w:p>
      <w:pPr>
        <w:spacing w:line="520" w:lineRule="exact"/>
        <w:ind w:firstLine="640" w:firstLineChars="200"/>
        <w:rPr>
          <w:rFonts w:ascii="仿宋" w:hAnsi="仿宋" w:eastAsia="仿宋" w:cs="仿宋_GB2312"/>
          <w:b w:val="0"/>
          <w:bCs w:val="0"/>
          <w:sz w:val="32"/>
          <w:szCs w:val="32"/>
        </w:rPr>
      </w:pPr>
      <w:r>
        <w:rPr>
          <w:rFonts w:hint="eastAsia" w:ascii="仿宋" w:hAnsi="仿宋" w:eastAsia="仿宋" w:cs="仿宋_GB2312"/>
          <w:b w:val="0"/>
          <w:bCs w:val="0"/>
          <w:sz w:val="32"/>
          <w:szCs w:val="32"/>
        </w:rPr>
        <w:t>第九条</w:t>
      </w:r>
      <w:r>
        <w:rPr>
          <w:rFonts w:hint="eastAsia" w:ascii="仿宋" w:hAnsi="仿宋" w:eastAsia="仿宋" w:cs="仿宋_GB2312"/>
          <w:sz w:val="32"/>
          <w:szCs w:val="32"/>
        </w:rPr>
        <w:t xml:space="preserve">  培育项目建设专项经费每年按规定编制经费预算表。根据各培育点的实际建设需要，对重点学科与硕士点建设中的关键性指标、标志性成果的经费支出，可向学科建设办公室提出预算调整计划，经专家评审、党政联席会审议通过后，予以调整专项经费支出额度，每年最多不超过1次。</w:t>
      </w:r>
    </w:p>
    <w:p>
      <w:pPr>
        <w:spacing w:line="520" w:lineRule="exact"/>
        <w:jc w:val="center"/>
        <w:rPr>
          <w:rFonts w:ascii="黑体" w:hAnsi="黑体" w:eastAsia="黑体" w:cs="仿宋_GB2312"/>
          <w:b w:val="0"/>
          <w:bCs w:val="0"/>
          <w:sz w:val="32"/>
          <w:szCs w:val="32"/>
        </w:rPr>
      </w:pPr>
      <w:r>
        <w:rPr>
          <w:rFonts w:hint="eastAsia" w:ascii="黑体" w:hAnsi="黑体" w:eastAsia="黑体" w:cs="仿宋_GB2312"/>
          <w:b w:val="0"/>
          <w:bCs w:val="0"/>
          <w:sz w:val="32"/>
          <w:szCs w:val="32"/>
        </w:rPr>
        <w:t>第四章  监督管理</w:t>
      </w:r>
    </w:p>
    <w:p>
      <w:pPr>
        <w:spacing w:line="520" w:lineRule="exact"/>
        <w:ind w:firstLine="640" w:firstLineChars="200"/>
        <w:jc w:val="both"/>
        <w:rPr>
          <w:rFonts w:ascii="仿宋" w:hAnsi="仿宋" w:eastAsia="仿宋" w:cs="仿宋_GB2312"/>
          <w:sz w:val="32"/>
          <w:szCs w:val="32"/>
        </w:rPr>
      </w:pPr>
      <w:r>
        <w:rPr>
          <w:rFonts w:hint="eastAsia" w:ascii="仿宋" w:hAnsi="仿宋" w:eastAsia="仿宋" w:cs="仿宋_GB2312"/>
          <w:b w:val="0"/>
          <w:bCs w:val="0"/>
          <w:sz w:val="32"/>
          <w:szCs w:val="32"/>
        </w:rPr>
        <w:t>第十条</w:t>
      </w:r>
      <w:r>
        <w:rPr>
          <w:rFonts w:hint="eastAsia" w:ascii="仿宋" w:hAnsi="仿宋" w:eastAsia="仿宋" w:cs="仿宋_GB2312"/>
          <w:sz w:val="32"/>
          <w:szCs w:val="32"/>
        </w:rPr>
        <w:t xml:space="preserve">  学科建设办公室负责培育项目建设经费的预算审核和执行过程监督等工作。</w:t>
      </w:r>
    </w:p>
    <w:p>
      <w:pPr>
        <w:spacing w:line="520" w:lineRule="exact"/>
        <w:jc w:val="both"/>
        <w:rPr>
          <w:rFonts w:ascii="仿宋" w:hAnsi="仿宋" w:eastAsia="仿宋" w:cs="仿宋_GB2312"/>
          <w:sz w:val="32"/>
          <w:szCs w:val="32"/>
        </w:rPr>
      </w:pPr>
      <w:r>
        <w:rPr>
          <w:rFonts w:hint="eastAsia" w:ascii="仿宋" w:hAnsi="仿宋" w:eastAsia="仿宋" w:cs="仿宋_GB2312"/>
          <w:sz w:val="32"/>
          <w:szCs w:val="32"/>
        </w:rPr>
        <w:t xml:space="preserve">    </w:t>
      </w:r>
      <w:r>
        <w:rPr>
          <w:rFonts w:hint="eastAsia" w:ascii="仿宋" w:hAnsi="仿宋" w:eastAsia="仿宋" w:cs="仿宋_GB2312"/>
          <w:b w:val="0"/>
          <w:bCs w:val="0"/>
          <w:sz w:val="32"/>
          <w:szCs w:val="32"/>
        </w:rPr>
        <w:t>第十一条</w:t>
      </w:r>
      <w:r>
        <w:rPr>
          <w:rFonts w:hint="eastAsia" w:ascii="仿宋" w:hAnsi="仿宋" w:eastAsia="仿宋" w:cs="仿宋_GB2312"/>
          <w:sz w:val="32"/>
          <w:szCs w:val="32"/>
        </w:rPr>
        <w:t xml:space="preserve">  计划财务部负责培育项目建设经费的财务管理和会计核算工作，协助指导培育项目建设专项经费预算编制和规范使用。</w:t>
      </w:r>
    </w:p>
    <w:p>
      <w:pPr>
        <w:spacing w:line="520" w:lineRule="exact"/>
        <w:ind w:firstLine="640" w:firstLineChars="200"/>
        <w:jc w:val="both"/>
        <w:rPr>
          <w:rFonts w:ascii="仿宋" w:hAnsi="仿宋" w:eastAsia="仿宋" w:cs="仿宋_GB2312"/>
          <w:sz w:val="32"/>
          <w:szCs w:val="32"/>
        </w:rPr>
      </w:pPr>
      <w:r>
        <w:rPr>
          <w:rFonts w:hint="eastAsia" w:ascii="仿宋" w:hAnsi="仿宋" w:eastAsia="仿宋" w:cs="仿宋_GB2312"/>
          <w:b w:val="0"/>
          <w:bCs w:val="0"/>
          <w:sz w:val="32"/>
          <w:szCs w:val="32"/>
        </w:rPr>
        <w:t>第十二条</w:t>
      </w:r>
      <w:r>
        <w:rPr>
          <w:rFonts w:hint="eastAsia" w:ascii="仿宋" w:hAnsi="仿宋" w:eastAsia="仿宋" w:cs="仿宋_GB2312"/>
          <w:sz w:val="32"/>
          <w:szCs w:val="32"/>
        </w:rPr>
        <w:t xml:space="preserve">  审计部门负责培育项目建设经费的审计和监督。</w:t>
      </w:r>
    </w:p>
    <w:p>
      <w:pPr>
        <w:spacing w:line="520" w:lineRule="exact"/>
        <w:ind w:firstLine="640" w:firstLineChars="200"/>
        <w:jc w:val="both"/>
        <w:rPr>
          <w:rFonts w:ascii="仿宋" w:hAnsi="仿宋" w:eastAsia="仿宋" w:cs="仿宋_GB2312"/>
          <w:sz w:val="32"/>
          <w:szCs w:val="32"/>
        </w:rPr>
      </w:pPr>
      <w:r>
        <w:rPr>
          <w:rFonts w:hint="eastAsia" w:ascii="仿宋" w:hAnsi="仿宋" w:eastAsia="仿宋" w:cs="仿宋_GB2312"/>
          <w:b w:val="0"/>
          <w:bCs w:val="0"/>
          <w:sz w:val="32"/>
          <w:szCs w:val="32"/>
        </w:rPr>
        <w:t>第十三条</w:t>
      </w:r>
      <w:r>
        <w:rPr>
          <w:rFonts w:hint="eastAsia" w:ascii="仿宋" w:hAnsi="仿宋" w:eastAsia="仿宋" w:cs="仿宋_GB2312"/>
          <w:sz w:val="32"/>
          <w:szCs w:val="32"/>
        </w:rPr>
        <w:t xml:space="preserve">  项目负责人作为专项经费支出审批人和直接责任人，对经费预算编制和具体使用的合规性、合理性、真实性、有效性承担相应责任。</w:t>
      </w:r>
    </w:p>
    <w:p>
      <w:pPr>
        <w:spacing w:line="520" w:lineRule="exact"/>
        <w:ind w:firstLine="640" w:firstLineChars="200"/>
        <w:jc w:val="both"/>
        <w:rPr>
          <w:rFonts w:ascii="仿宋" w:hAnsi="仿宋" w:eastAsia="仿宋" w:cs="仿宋_GB2312"/>
          <w:sz w:val="32"/>
          <w:szCs w:val="32"/>
        </w:rPr>
      </w:pPr>
      <w:r>
        <w:rPr>
          <w:rFonts w:hint="eastAsia" w:ascii="仿宋" w:hAnsi="仿宋" w:eastAsia="仿宋" w:cs="仿宋_GB2312"/>
          <w:b w:val="0"/>
          <w:bCs w:val="0"/>
          <w:sz w:val="32"/>
          <w:szCs w:val="32"/>
        </w:rPr>
        <w:t>第十四条</w:t>
      </w:r>
      <w:r>
        <w:rPr>
          <w:rFonts w:hint="eastAsia" w:ascii="仿宋" w:hAnsi="仿宋" w:eastAsia="仿宋" w:cs="仿宋_GB2312"/>
          <w:sz w:val="32"/>
          <w:szCs w:val="32"/>
        </w:rPr>
        <w:t xml:space="preserve"> </w:t>
      </w:r>
      <w:r>
        <w:rPr>
          <w:rFonts w:ascii="仿宋" w:hAnsi="仿宋" w:eastAsia="仿宋" w:cs="仿宋_GB2312"/>
          <w:sz w:val="32"/>
          <w:szCs w:val="32"/>
        </w:rPr>
        <w:t xml:space="preserve"> </w:t>
      </w:r>
      <w:r>
        <w:rPr>
          <w:rFonts w:hint="eastAsia" w:ascii="仿宋" w:hAnsi="仿宋" w:eastAsia="仿宋" w:cs="仿宋_GB2312"/>
          <w:sz w:val="32"/>
          <w:szCs w:val="32"/>
        </w:rPr>
        <w:t>每年度末，各项目组编制专项经费使用情况分析报告，内容包括专项经费预算执行情况、资金使用效益情况、管理情况、存在问题和建议等。该报告经项目所在学院审核后向全体项目组成员公布，并报学科建设办公室备案。</w:t>
      </w:r>
    </w:p>
    <w:p>
      <w:pPr>
        <w:spacing w:line="520" w:lineRule="exact"/>
        <w:ind w:firstLine="640" w:firstLineChars="200"/>
        <w:jc w:val="both"/>
        <w:rPr>
          <w:rFonts w:ascii="仿宋_GB2312" w:hAnsi="仿宋_GB2312" w:eastAsia="仿宋_GB2312" w:cs="仿宋_GB2312"/>
          <w:sz w:val="32"/>
          <w:szCs w:val="32"/>
        </w:rPr>
      </w:pPr>
      <w:r>
        <w:rPr>
          <w:rFonts w:hint="eastAsia" w:ascii="仿宋" w:hAnsi="仿宋" w:eastAsia="仿宋" w:cs="仿宋_GB2312"/>
          <w:b w:val="0"/>
          <w:bCs w:val="0"/>
          <w:sz w:val="32"/>
          <w:szCs w:val="32"/>
        </w:rPr>
        <w:t>第十五条</w:t>
      </w:r>
      <w:r>
        <w:rPr>
          <w:rFonts w:hint="eastAsia" w:ascii="仿宋" w:hAnsi="仿宋" w:eastAsia="仿宋" w:cs="仿宋_GB2312"/>
          <w:sz w:val="32"/>
          <w:szCs w:val="32"/>
        </w:rPr>
        <w:t xml:space="preserve">  对在使用过程中改变资金用途或截留、挤占、挪用或骗取专项资金等违法违纪违规行为，依照有关法律法规和有关规定追究相应责任。</w:t>
      </w:r>
    </w:p>
    <w:p>
      <w:pPr>
        <w:spacing w:line="520" w:lineRule="exact"/>
        <w:jc w:val="center"/>
        <w:rPr>
          <w:rFonts w:ascii="黑体" w:hAnsi="黑体" w:eastAsia="黑体" w:cs="仿宋_GB2312"/>
          <w:b w:val="0"/>
          <w:bCs w:val="0"/>
          <w:sz w:val="32"/>
          <w:szCs w:val="32"/>
        </w:rPr>
      </w:pPr>
      <w:r>
        <w:rPr>
          <w:rFonts w:hint="eastAsia" w:ascii="黑体" w:hAnsi="黑体" w:eastAsia="黑体" w:cs="仿宋_GB2312"/>
          <w:b w:val="0"/>
          <w:bCs w:val="0"/>
          <w:sz w:val="32"/>
          <w:szCs w:val="32"/>
        </w:rPr>
        <w:t>第五章</w:t>
      </w:r>
      <w:r>
        <w:rPr>
          <w:rFonts w:hint="eastAsia" w:ascii="黑体" w:hAnsi="黑体" w:eastAsia="黑体" w:cs="仿宋_GB2312"/>
          <w:b w:val="0"/>
          <w:bCs w:val="0"/>
          <w:sz w:val="32"/>
          <w:szCs w:val="32"/>
          <w:lang w:val="en-US" w:eastAsia="zh-CN"/>
        </w:rPr>
        <w:t xml:space="preserve">  </w:t>
      </w:r>
      <w:r>
        <w:rPr>
          <w:rFonts w:hint="eastAsia" w:ascii="黑体" w:hAnsi="黑体" w:eastAsia="黑体" w:cs="仿宋_GB2312"/>
          <w:b w:val="0"/>
          <w:bCs w:val="0"/>
          <w:sz w:val="32"/>
          <w:szCs w:val="32"/>
        </w:rPr>
        <w:t>附</w:t>
      </w:r>
      <w:r>
        <w:rPr>
          <w:rFonts w:hint="eastAsia" w:ascii="黑体" w:hAnsi="黑体" w:eastAsia="黑体" w:cs="仿宋_GB2312"/>
          <w:b w:val="0"/>
          <w:bCs w:val="0"/>
          <w:sz w:val="32"/>
          <w:szCs w:val="32"/>
          <w:lang w:val="en-US" w:eastAsia="zh-CN"/>
        </w:rPr>
        <w:t xml:space="preserve"> </w:t>
      </w:r>
      <w:r>
        <w:rPr>
          <w:rFonts w:hint="eastAsia" w:ascii="黑体" w:hAnsi="黑体" w:eastAsia="黑体" w:cs="仿宋_GB2312"/>
          <w:b w:val="0"/>
          <w:bCs w:val="0"/>
          <w:sz w:val="32"/>
          <w:szCs w:val="32"/>
        </w:rPr>
        <w:t>则</w:t>
      </w:r>
    </w:p>
    <w:p>
      <w:pPr>
        <w:spacing w:line="520" w:lineRule="exact"/>
        <w:ind w:firstLine="640" w:firstLineChars="200"/>
        <w:jc w:val="both"/>
        <w:rPr>
          <w:rFonts w:hint="eastAsia" w:ascii="仿宋" w:hAnsi="仿宋" w:eastAsia="仿宋" w:cs="仿宋_GB2312"/>
          <w:sz w:val="32"/>
          <w:szCs w:val="32"/>
        </w:rPr>
      </w:pPr>
      <w:r>
        <w:rPr>
          <w:rFonts w:hint="eastAsia" w:ascii="仿宋" w:hAnsi="仿宋" w:eastAsia="仿宋" w:cs="仿宋_GB2312"/>
          <w:b w:val="0"/>
          <w:bCs w:val="0"/>
          <w:sz w:val="32"/>
          <w:szCs w:val="32"/>
        </w:rPr>
        <w:t>第十六条</w:t>
      </w:r>
      <w:r>
        <w:rPr>
          <w:rFonts w:hint="eastAsia" w:ascii="仿宋" w:hAnsi="仿宋" w:eastAsia="仿宋" w:cs="仿宋_GB2312"/>
          <w:sz w:val="32"/>
          <w:szCs w:val="32"/>
        </w:rPr>
        <w:t xml:space="preserve">  本办法与上级文件不一致时以上级文件为准。在执行中如出现重大分歧，应提请学术委员会解释和仲裁。本办法经2022年第1次党政联席会审议通过，自发文之日起实行，由学科建设办公室牵头负责解释。</w:t>
      </w:r>
    </w:p>
    <w:p/>
    <w:sectPr>
      <w:footerReference r:id="rId3" w:type="default"/>
      <w:pgSz w:w="11906" w:h="16838"/>
      <w:pgMar w:top="1440" w:right="1800" w:bottom="1440" w:left="1800" w:header="851" w:footer="119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D83517"/>
    <w:multiLevelType w:val="singleLevel"/>
    <w:tmpl w:val="A5D83517"/>
    <w:lvl w:ilvl="0" w:tentative="0">
      <w:start w:val="2"/>
      <w:numFmt w:val="chineseCounting"/>
      <w:suff w:val="space"/>
      <w:lvlText w:val="第%1条"/>
      <w:lvlJc w:val="left"/>
      <w:rPr>
        <w:rFonts w:hint="eastAsia"/>
        <w:b w:val="0"/>
        <w:bC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F21E41"/>
    <w:rsid w:val="1EF21E41"/>
    <w:rsid w:val="3DE71FBC"/>
    <w:rsid w:val="54481B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样式2"/>
    <w:basedOn w:val="3"/>
    <w:next w:val="1"/>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2022-01-07T02:55:00Z</dcterms:created>
  <dc:creator>慧慧</dc:creator>
  <cp:lastModifiedBy>慧慧</cp:lastModifiedBy>
  <dcterms:modified xsi:type="dcterms:W3CDTF">2022-01-07T03:04:49Z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336A10665200413B860E55F5BBB07902</vt:lpwstr>
  </property>
</Properties>
</file>