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8" w:rsidRDefault="00AE42E9">
      <w:pPr>
        <w:pStyle w:val="a4"/>
        <w:widowControl/>
        <w:snapToGrid w:val="0"/>
        <w:spacing w:before="0" w:beforeAutospacing="0" w:after="0" w:afterAutospacing="0" w:line="600" w:lineRule="exact"/>
        <w:ind w:firstLine="623"/>
        <w:rPr>
          <w:rFonts w:ascii="黑体" w:eastAsia="黑体" w:hAnsi="黑体" w:cs="黑体"/>
          <w:color w:val="333333"/>
          <w:sz w:val="32"/>
          <w:szCs w:val="32"/>
        </w:rPr>
      </w:pPr>
      <w:r>
        <w:rPr>
          <w:rFonts w:ascii="黑体" w:eastAsia="黑体" w:hAnsi="黑体" w:cs="黑体" w:hint="eastAsia"/>
          <w:color w:val="333333"/>
          <w:sz w:val="32"/>
          <w:szCs w:val="32"/>
        </w:rPr>
        <w:t>附件</w:t>
      </w:r>
    </w:p>
    <w:p w:rsidR="00C04148" w:rsidRDefault="00C04148">
      <w:pPr>
        <w:pStyle w:val="a4"/>
        <w:widowControl/>
        <w:snapToGrid w:val="0"/>
        <w:spacing w:before="0" w:beforeAutospacing="0" w:after="0" w:afterAutospacing="0" w:line="600" w:lineRule="exact"/>
        <w:ind w:firstLine="623"/>
        <w:rPr>
          <w:rFonts w:ascii="黑体" w:eastAsia="黑体" w:hAnsi="黑体" w:cs="黑体"/>
          <w:color w:val="333333"/>
          <w:sz w:val="32"/>
          <w:szCs w:val="32"/>
        </w:rPr>
      </w:pPr>
    </w:p>
    <w:p w:rsidR="00C04148" w:rsidRDefault="00AE42E9" w:rsidP="00AE42E9">
      <w:pPr>
        <w:pStyle w:val="a4"/>
        <w:widowControl/>
        <w:snapToGrid w:val="0"/>
        <w:spacing w:before="0" w:beforeAutospacing="0" w:after="0" w:afterAutospacing="0" w:line="600" w:lineRule="exact"/>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浙江省哲学社会科学专项资金资助标准</w:t>
      </w:r>
    </w:p>
    <w:p w:rsidR="00C04148" w:rsidRDefault="00C04148">
      <w:pPr>
        <w:pStyle w:val="a4"/>
        <w:widowControl/>
        <w:snapToGrid w:val="0"/>
        <w:spacing w:before="0" w:beforeAutospacing="0" w:after="0" w:afterAutospacing="0" w:line="200" w:lineRule="exact"/>
        <w:ind w:firstLineChars="200" w:firstLine="880"/>
        <w:jc w:val="center"/>
        <w:rPr>
          <w:rFonts w:ascii="方正小标宋简体" w:eastAsia="方正小标宋简体" w:hAnsi="方正小标宋简体" w:cs="方正小标宋简体"/>
          <w:color w:val="000000"/>
          <w:sz w:val="44"/>
          <w:szCs w:val="44"/>
        </w:rPr>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76"/>
        <w:gridCol w:w="2925"/>
        <w:gridCol w:w="1575"/>
        <w:gridCol w:w="3776"/>
      </w:tblGrid>
      <w:tr w:rsidR="00C04148">
        <w:trPr>
          <w:trHeight w:val="493"/>
          <w:tblHeader/>
          <w:jc w:val="center"/>
        </w:trPr>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148" w:rsidRDefault="00AE42E9">
            <w:pPr>
              <w:pStyle w:val="a4"/>
              <w:widowControl/>
              <w:spacing w:before="0" w:beforeAutospacing="0" w:after="0" w:afterAutospacing="0" w:line="15" w:lineRule="auto"/>
              <w:jc w:val="center"/>
              <w:rPr>
                <w:rFonts w:ascii="黑体" w:eastAsia="黑体" w:hAnsi="黑体" w:cs="黑体"/>
                <w:sz w:val="30"/>
                <w:szCs w:val="30"/>
              </w:rPr>
            </w:pPr>
            <w:r>
              <w:rPr>
                <w:rFonts w:ascii="黑体" w:eastAsia="黑体" w:hAnsi="黑体" w:cs="黑体" w:hint="eastAsia"/>
                <w:sz w:val="30"/>
                <w:szCs w:val="30"/>
              </w:rPr>
              <w:t>支持范围</w:t>
            </w:r>
          </w:p>
        </w:tc>
        <w:tc>
          <w:tcPr>
            <w:tcW w:w="292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04148" w:rsidRDefault="00AE42E9">
            <w:pPr>
              <w:pStyle w:val="a4"/>
              <w:widowControl/>
              <w:spacing w:before="0" w:beforeAutospacing="0" w:after="0" w:afterAutospacing="0" w:line="15" w:lineRule="auto"/>
              <w:jc w:val="center"/>
              <w:rPr>
                <w:rFonts w:ascii="黑体" w:eastAsia="黑体" w:hAnsi="黑体" w:cs="黑体"/>
                <w:sz w:val="30"/>
                <w:szCs w:val="30"/>
              </w:rPr>
            </w:pPr>
            <w:r>
              <w:rPr>
                <w:rFonts w:ascii="黑体" w:eastAsia="黑体" w:hAnsi="黑体" w:cs="黑体" w:hint="eastAsia"/>
                <w:sz w:val="30"/>
                <w:szCs w:val="30"/>
              </w:rPr>
              <w:t>具体内容</w:t>
            </w:r>
          </w:p>
        </w:tc>
        <w:tc>
          <w:tcPr>
            <w:tcW w:w="157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04148" w:rsidRDefault="00AE42E9">
            <w:pPr>
              <w:pStyle w:val="a4"/>
              <w:widowControl/>
              <w:spacing w:before="0" w:beforeAutospacing="0" w:after="0" w:afterAutospacing="0" w:line="15" w:lineRule="auto"/>
              <w:jc w:val="center"/>
              <w:rPr>
                <w:rFonts w:ascii="黑体" w:eastAsia="黑体" w:hAnsi="黑体" w:cs="黑体"/>
                <w:sz w:val="30"/>
                <w:szCs w:val="30"/>
              </w:rPr>
            </w:pPr>
            <w:r>
              <w:rPr>
                <w:rFonts w:ascii="黑体" w:eastAsia="黑体" w:hAnsi="黑体" w:cs="黑体" w:hint="eastAsia"/>
                <w:sz w:val="30"/>
                <w:szCs w:val="30"/>
              </w:rPr>
              <w:t>分配方式</w:t>
            </w:r>
          </w:p>
        </w:tc>
        <w:tc>
          <w:tcPr>
            <w:tcW w:w="3776"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04148" w:rsidRDefault="00AE42E9">
            <w:pPr>
              <w:pStyle w:val="a4"/>
              <w:widowControl/>
              <w:spacing w:before="0" w:beforeAutospacing="0" w:after="0" w:afterAutospacing="0" w:line="15" w:lineRule="auto"/>
              <w:jc w:val="center"/>
              <w:rPr>
                <w:rFonts w:ascii="黑体" w:eastAsia="黑体" w:hAnsi="黑体" w:cs="黑体"/>
                <w:sz w:val="30"/>
                <w:szCs w:val="30"/>
              </w:rPr>
            </w:pPr>
            <w:r>
              <w:rPr>
                <w:rFonts w:ascii="黑体" w:eastAsia="黑体" w:hAnsi="黑体" w:cs="黑体" w:hint="eastAsia"/>
                <w:sz w:val="30"/>
                <w:szCs w:val="30"/>
              </w:rPr>
              <w:t>资助标准</w:t>
            </w:r>
          </w:p>
        </w:tc>
      </w:tr>
      <w:tr w:rsidR="00C04148">
        <w:trPr>
          <w:trHeight w:val="710"/>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课题研究</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哲学社会科学规划课题、省社科</w:t>
            </w:r>
            <w:proofErr w:type="gramStart"/>
            <w:r>
              <w:rPr>
                <w:rFonts w:ascii="仿宋_GB2312" w:eastAsia="仿宋_GB2312" w:hAnsi="仿宋_GB2312" w:cs="仿宋_GB2312" w:hint="eastAsia"/>
              </w:rPr>
              <w:t>联研究</w:t>
            </w:r>
            <w:proofErr w:type="gramEnd"/>
            <w:r>
              <w:rPr>
                <w:rFonts w:ascii="仿宋_GB2312" w:eastAsia="仿宋_GB2312" w:hAnsi="仿宋_GB2312" w:cs="仿宋_GB2312" w:hint="eastAsia"/>
              </w:rPr>
              <w:t>课题、省社科联科普课题</w:t>
            </w:r>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公开竞争为主，择优委托为辅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重大课题</w:t>
            </w:r>
            <w:r>
              <w:rPr>
                <w:rFonts w:ascii="仿宋_GB2312" w:eastAsia="仿宋_GB2312" w:hAnsi="仿宋_GB2312" w:cs="仿宋_GB2312" w:hint="eastAsia"/>
              </w:rPr>
              <w:t>10-20</w:t>
            </w:r>
            <w:r>
              <w:rPr>
                <w:rFonts w:ascii="仿宋_GB2312" w:eastAsia="仿宋_GB2312" w:hAnsi="仿宋_GB2312" w:cs="仿宋_GB2312" w:hint="eastAsia"/>
              </w:rPr>
              <w:t>万元，重点课题</w:t>
            </w:r>
            <w:r>
              <w:rPr>
                <w:rFonts w:ascii="仿宋_GB2312" w:eastAsia="仿宋_GB2312" w:hAnsi="仿宋_GB2312" w:cs="仿宋_GB2312" w:hint="eastAsia"/>
              </w:rPr>
              <w:t>6-8</w:t>
            </w:r>
            <w:r>
              <w:rPr>
                <w:rFonts w:ascii="仿宋_GB2312" w:eastAsia="仿宋_GB2312" w:hAnsi="仿宋_GB2312" w:cs="仿宋_GB2312" w:hint="eastAsia"/>
              </w:rPr>
              <w:t>万元，</w:t>
            </w:r>
            <w:proofErr w:type="gramStart"/>
            <w:r>
              <w:rPr>
                <w:rFonts w:ascii="仿宋_GB2312" w:eastAsia="仿宋_GB2312" w:hAnsi="仿宋_GB2312" w:cs="仿宋_GB2312" w:hint="eastAsia"/>
              </w:rPr>
              <w:t>一般课题</w:t>
            </w:r>
            <w:proofErr w:type="gramEnd"/>
            <w:r>
              <w:rPr>
                <w:rFonts w:ascii="仿宋_GB2312" w:eastAsia="仿宋_GB2312" w:hAnsi="仿宋_GB2312" w:cs="仿宋_GB2312" w:hint="eastAsia"/>
              </w:rPr>
              <w:t>1-5</w:t>
            </w:r>
            <w:r>
              <w:rPr>
                <w:rFonts w:ascii="仿宋_GB2312" w:eastAsia="仿宋_GB2312" w:hAnsi="仿宋_GB2312" w:cs="仿宋_GB2312" w:hint="eastAsia"/>
              </w:rPr>
              <w:t>万元，后补助项目</w:t>
            </w:r>
            <w:r>
              <w:rPr>
                <w:rFonts w:ascii="仿宋_GB2312" w:eastAsia="仿宋_GB2312" w:hAnsi="仿宋_GB2312" w:cs="仿宋_GB2312" w:hint="eastAsia"/>
              </w:rPr>
              <w:t>1-6</w:t>
            </w:r>
            <w:r>
              <w:rPr>
                <w:rFonts w:ascii="仿宋_GB2312" w:eastAsia="仿宋_GB2312" w:hAnsi="仿宋_GB2312" w:cs="仿宋_GB2312" w:hint="eastAsia"/>
              </w:rPr>
              <w:t>万元。</w:t>
            </w:r>
          </w:p>
        </w:tc>
      </w:tr>
      <w:tr w:rsidR="00C04148">
        <w:trPr>
          <w:trHeight w:val="1930"/>
          <w:jc w:val="center"/>
        </w:trPr>
        <w:tc>
          <w:tcPr>
            <w:tcW w:w="1376"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科研平台</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proofErr w:type="gramStart"/>
            <w:r>
              <w:rPr>
                <w:rFonts w:ascii="仿宋_GB2312" w:eastAsia="仿宋_GB2312" w:hAnsi="仿宋_GB2312" w:cs="仿宋_GB2312" w:hint="eastAsia"/>
              </w:rPr>
              <w:t>新型智库</w:t>
            </w:r>
            <w:proofErr w:type="gramEnd"/>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公开竞争为主，政府购买服务、择优委托为辅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结合我省哲学社会科学五年规划确定的建设数量，建设期内（下同）浙江省新型重点</w:t>
            </w:r>
            <w:proofErr w:type="gramStart"/>
            <w:r>
              <w:rPr>
                <w:rFonts w:ascii="仿宋_GB2312" w:eastAsia="仿宋_GB2312" w:hAnsi="仿宋_GB2312" w:cs="仿宋_GB2312" w:hint="eastAsia"/>
              </w:rPr>
              <w:t>专业智库每年</w:t>
            </w:r>
            <w:proofErr w:type="gramEnd"/>
            <w:r>
              <w:rPr>
                <w:rFonts w:ascii="仿宋_GB2312" w:eastAsia="仿宋_GB2312" w:hAnsi="仿宋_GB2312" w:cs="仿宋_GB2312" w:hint="eastAsia"/>
              </w:rPr>
              <w:t>不超过</w:t>
            </w:r>
            <w:r>
              <w:rPr>
                <w:rFonts w:ascii="仿宋_GB2312" w:eastAsia="仿宋_GB2312" w:hAnsi="仿宋_GB2312" w:cs="仿宋_GB2312" w:hint="eastAsia"/>
              </w:rPr>
              <w:t>150</w:t>
            </w:r>
            <w:r>
              <w:rPr>
                <w:rFonts w:ascii="仿宋_GB2312" w:eastAsia="仿宋_GB2312" w:hAnsi="仿宋_GB2312" w:cs="仿宋_GB2312" w:hint="eastAsia"/>
              </w:rPr>
              <w:t>万元，浙江省重点</w:t>
            </w:r>
            <w:proofErr w:type="gramStart"/>
            <w:r>
              <w:rPr>
                <w:rFonts w:ascii="仿宋_GB2312" w:eastAsia="仿宋_GB2312" w:hAnsi="仿宋_GB2312" w:cs="仿宋_GB2312" w:hint="eastAsia"/>
              </w:rPr>
              <w:t>培育智库每年</w:t>
            </w:r>
            <w:proofErr w:type="gramEnd"/>
            <w:r>
              <w:rPr>
                <w:rFonts w:ascii="仿宋_GB2312" w:eastAsia="仿宋_GB2312" w:hAnsi="仿宋_GB2312" w:cs="仿宋_GB2312" w:hint="eastAsia"/>
              </w:rPr>
              <w:t>不超过</w:t>
            </w:r>
            <w:r>
              <w:rPr>
                <w:rFonts w:ascii="仿宋_GB2312" w:eastAsia="仿宋_GB2312" w:hAnsi="仿宋_GB2312" w:cs="仿宋_GB2312" w:hint="eastAsia"/>
              </w:rPr>
              <w:t>60</w:t>
            </w:r>
            <w:r>
              <w:rPr>
                <w:rFonts w:ascii="仿宋_GB2312" w:eastAsia="仿宋_GB2312" w:hAnsi="仿宋_GB2312" w:cs="仿宋_GB2312" w:hint="eastAsia"/>
              </w:rPr>
              <w:t>万元。根据中期和期末绩效评估结果作动态调整。</w:t>
            </w:r>
          </w:p>
        </w:tc>
      </w:tr>
      <w:tr w:rsidR="00C04148">
        <w:trPr>
          <w:trHeight w:val="1035"/>
          <w:jc w:val="center"/>
        </w:trPr>
        <w:tc>
          <w:tcPr>
            <w:tcW w:w="1376" w:type="dxa"/>
            <w:vMerge/>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C04148">
            <w:pPr>
              <w:spacing w:line="360" w:lineRule="exact"/>
              <w:jc w:val="center"/>
              <w:rPr>
                <w:rFonts w:ascii="仿宋_GB2312" w:eastAsia="仿宋_GB2312" w:hAnsi="仿宋_GB2312" w:cs="仿宋_GB2312"/>
                <w:sz w:val="24"/>
              </w:rPr>
            </w:pP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省哲学社会科学重点研究基地</w:t>
            </w:r>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公开竞争为主，择优委托为辅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A</w:t>
            </w:r>
            <w:r>
              <w:rPr>
                <w:rFonts w:ascii="仿宋_GB2312" w:eastAsia="仿宋_GB2312" w:hAnsi="仿宋_GB2312" w:cs="仿宋_GB2312" w:hint="eastAsia"/>
              </w:rPr>
              <w:t>类基地每年不超过</w:t>
            </w:r>
            <w:r>
              <w:rPr>
                <w:rFonts w:ascii="仿宋_GB2312" w:eastAsia="仿宋_GB2312" w:hAnsi="仿宋_GB2312" w:cs="仿宋_GB2312" w:hint="eastAsia"/>
              </w:rPr>
              <w:t>80</w:t>
            </w:r>
            <w:r>
              <w:rPr>
                <w:rFonts w:ascii="仿宋_GB2312" w:eastAsia="仿宋_GB2312" w:hAnsi="仿宋_GB2312" w:cs="仿宋_GB2312" w:hint="eastAsia"/>
              </w:rPr>
              <w:t>万元，</w:t>
            </w:r>
            <w:r>
              <w:rPr>
                <w:rFonts w:ascii="仿宋_GB2312" w:eastAsia="仿宋_GB2312" w:hAnsi="仿宋_GB2312" w:cs="仿宋_GB2312" w:hint="eastAsia"/>
              </w:rPr>
              <w:t>B</w:t>
            </w:r>
            <w:r>
              <w:rPr>
                <w:rFonts w:ascii="仿宋_GB2312" w:eastAsia="仿宋_GB2312" w:hAnsi="仿宋_GB2312" w:cs="仿宋_GB2312" w:hint="eastAsia"/>
              </w:rPr>
              <w:t>类基地每年不超过</w:t>
            </w:r>
            <w:r>
              <w:rPr>
                <w:rFonts w:ascii="仿宋_GB2312" w:eastAsia="仿宋_GB2312" w:hAnsi="仿宋_GB2312" w:cs="仿宋_GB2312" w:hint="eastAsia"/>
              </w:rPr>
              <w:t>50</w:t>
            </w:r>
            <w:r>
              <w:rPr>
                <w:rFonts w:ascii="仿宋_GB2312" w:eastAsia="仿宋_GB2312" w:hAnsi="仿宋_GB2312" w:cs="仿宋_GB2312" w:hint="eastAsia"/>
              </w:rPr>
              <w:t>万元。根据中期和期末绩效评估结果作动态调整。</w:t>
            </w:r>
          </w:p>
        </w:tc>
      </w:tr>
      <w:tr w:rsidR="00C04148">
        <w:trPr>
          <w:trHeight w:val="820"/>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宣传普及</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社科普及活动、社科普及基地建设、科普创新项目；优秀成果、优秀学者等宣传推介</w:t>
            </w:r>
          </w:p>
        </w:tc>
        <w:tc>
          <w:tcPr>
            <w:tcW w:w="1575" w:type="dxa"/>
            <w:vMerge w:val="restart"/>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政府购买服务</w:t>
            </w:r>
          </w:p>
        </w:tc>
        <w:tc>
          <w:tcPr>
            <w:tcW w:w="3776" w:type="dxa"/>
            <w:vMerge w:val="restart"/>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付款金额和方式根据合同约定。</w:t>
            </w:r>
          </w:p>
        </w:tc>
      </w:tr>
      <w:tr w:rsidR="00C04148">
        <w:trPr>
          <w:trHeight w:val="610"/>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学术活动</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省级重要学术、省级学会、民办社科研究机构学术活动。</w:t>
            </w:r>
          </w:p>
        </w:tc>
        <w:tc>
          <w:tcPr>
            <w:tcW w:w="1575" w:type="dxa"/>
            <w:vMerge/>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spacing w:line="360" w:lineRule="exact"/>
              <w:rPr>
                <w:rFonts w:ascii="仿宋_GB2312" w:eastAsia="仿宋_GB2312" w:hAnsi="仿宋_GB2312" w:cs="仿宋_GB2312"/>
                <w:sz w:val="24"/>
              </w:rPr>
            </w:pPr>
          </w:p>
        </w:tc>
        <w:tc>
          <w:tcPr>
            <w:tcW w:w="3776" w:type="dxa"/>
            <w:vMerge/>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spacing w:line="360" w:lineRule="exact"/>
              <w:rPr>
                <w:rFonts w:ascii="仿宋_GB2312" w:eastAsia="仿宋_GB2312" w:hAnsi="仿宋_GB2312" w:cs="仿宋_GB2312"/>
                <w:sz w:val="24"/>
              </w:rPr>
            </w:pPr>
          </w:p>
        </w:tc>
      </w:tr>
      <w:tr w:rsidR="00C04148">
        <w:trPr>
          <w:trHeight w:val="1580"/>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人才培养</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哲学社会科学人才和队伍建设，之江青年社科学者行动计划中的小组活动和浙江发展研究中心分中心活动。</w:t>
            </w:r>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公开竞争为主，择优委托为辅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之江青年活动小组财政资助额度为每年每个小组不超过</w:t>
            </w:r>
            <w:r>
              <w:rPr>
                <w:rFonts w:ascii="仿宋_GB2312" w:eastAsia="仿宋_GB2312" w:hAnsi="仿宋_GB2312" w:cs="仿宋_GB2312" w:hint="eastAsia"/>
              </w:rPr>
              <w:t>15</w:t>
            </w:r>
            <w:r>
              <w:rPr>
                <w:rFonts w:ascii="仿宋_GB2312" w:eastAsia="仿宋_GB2312" w:hAnsi="仿宋_GB2312" w:cs="仿宋_GB2312" w:hint="eastAsia"/>
              </w:rPr>
              <w:t>万元，浙江发展研究中心每年每个分中心为不超过</w:t>
            </w:r>
            <w:r>
              <w:rPr>
                <w:rFonts w:ascii="仿宋_GB2312" w:eastAsia="仿宋_GB2312" w:hAnsi="仿宋_GB2312" w:cs="仿宋_GB2312" w:hint="eastAsia"/>
              </w:rPr>
              <w:t>40</w:t>
            </w:r>
            <w:r>
              <w:rPr>
                <w:rFonts w:ascii="仿宋_GB2312" w:eastAsia="仿宋_GB2312" w:hAnsi="仿宋_GB2312" w:cs="仿宋_GB2312" w:hint="eastAsia"/>
              </w:rPr>
              <w:t>万元。根据中期和期末绩效评估结果作动态调整。</w:t>
            </w:r>
          </w:p>
        </w:tc>
      </w:tr>
      <w:tr w:rsidR="00C04148">
        <w:trPr>
          <w:trHeight w:val="1032"/>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省哲学社会科学优秀成果奖励</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widowControl/>
              <w:spacing w:line="360" w:lineRule="exact"/>
              <w:rPr>
                <w:rFonts w:ascii="仿宋_GB2312" w:eastAsia="仿宋_GB2312" w:hAnsi="仿宋_GB2312" w:cs="仿宋_GB2312"/>
                <w:sz w:val="24"/>
              </w:rPr>
            </w:pPr>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奖励额度为一等奖</w:t>
            </w:r>
            <w:r>
              <w:rPr>
                <w:rFonts w:ascii="仿宋_GB2312" w:eastAsia="仿宋_GB2312" w:hAnsi="仿宋_GB2312" w:cs="仿宋_GB2312" w:hint="eastAsia"/>
              </w:rPr>
              <w:t>8-10</w:t>
            </w:r>
            <w:r>
              <w:rPr>
                <w:rFonts w:ascii="仿宋_GB2312" w:eastAsia="仿宋_GB2312" w:hAnsi="仿宋_GB2312" w:cs="仿宋_GB2312" w:hint="eastAsia"/>
              </w:rPr>
              <w:t>万元，二等奖</w:t>
            </w:r>
            <w:r>
              <w:rPr>
                <w:rFonts w:ascii="仿宋_GB2312" w:eastAsia="仿宋_GB2312" w:hAnsi="仿宋_GB2312" w:cs="仿宋_GB2312" w:hint="eastAsia"/>
              </w:rPr>
              <w:t>3-5</w:t>
            </w:r>
            <w:r>
              <w:rPr>
                <w:rFonts w:ascii="仿宋_GB2312" w:eastAsia="仿宋_GB2312" w:hAnsi="仿宋_GB2312" w:cs="仿宋_GB2312" w:hint="eastAsia"/>
              </w:rPr>
              <w:t>万元，青年奖</w:t>
            </w:r>
            <w:r>
              <w:rPr>
                <w:rFonts w:ascii="仿宋_GB2312" w:eastAsia="仿宋_GB2312" w:hAnsi="仿宋_GB2312" w:cs="仿宋_GB2312" w:hint="eastAsia"/>
              </w:rPr>
              <w:t>1-3</w:t>
            </w:r>
            <w:r>
              <w:rPr>
                <w:rFonts w:ascii="仿宋_GB2312" w:eastAsia="仿宋_GB2312" w:hAnsi="仿宋_GB2312" w:cs="仿宋_GB2312" w:hint="eastAsia"/>
              </w:rPr>
              <w:t>万元。</w:t>
            </w:r>
          </w:p>
        </w:tc>
      </w:tr>
      <w:tr w:rsidR="00C04148">
        <w:trPr>
          <w:trHeight w:val="960"/>
          <w:jc w:val="center"/>
        </w:trPr>
        <w:tc>
          <w:tcPr>
            <w:tcW w:w="137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t>省级社会科学学术著作出版</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widowControl/>
              <w:spacing w:line="360" w:lineRule="exact"/>
              <w:rPr>
                <w:rFonts w:ascii="仿宋_GB2312" w:eastAsia="仿宋_GB2312" w:hAnsi="仿宋_GB2312" w:cs="仿宋_GB2312"/>
                <w:sz w:val="24"/>
              </w:rPr>
            </w:pPr>
          </w:p>
        </w:tc>
        <w:tc>
          <w:tcPr>
            <w:tcW w:w="157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公开竞争为主，择优委托为辅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根据评审结果，分为全额资助和部分资助。全额资助额度以出版合同为准，部分资助额度为</w:t>
            </w:r>
            <w:r>
              <w:rPr>
                <w:rFonts w:ascii="仿宋_GB2312" w:eastAsia="仿宋_GB2312" w:hAnsi="仿宋_GB2312" w:cs="仿宋_GB2312" w:hint="eastAsia"/>
              </w:rPr>
              <w:t>1.5-3</w:t>
            </w:r>
            <w:r>
              <w:rPr>
                <w:rFonts w:ascii="仿宋_GB2312" w:eastAsia="仿宋_GB2312" w:hAnsi="仿宋_GB2312" w:cs="仿宋_GB2312" w:hint="eastAsia"/>
              </w:rPr>
              <w:t>万元。</w:t>
            </w:r>
          </w:p>
        </w:tc>
      </w:tr>
      <w:tr w:rsidR="00C04148">
        <w:trPr>
          <w:trHeight w:val="410"/>
          <w:jc w:val="center"/>
        </w:trPr>
        <w:tc>
          <w:tcPr>
            <w:tcW w:w="1376"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C04148" w:rsidRDefault="00C04148">
            <w:pPr>
              <w:pStyle w:val="a4"/>
              <w:widowControl/>
              <w:spacing w:before="0" w:beforeAutospacing="0" w:after="0" w:afterAutospacing="0" w:line="360" w:lineRule="exact"/>
              <w:jc w:val="center"/>
              <w:rPr>
                <w:rFonts w:ascii="仿宋_GB2312" w:eastAsia="仿宋_GB2312" w:hAnsi="仿宋_GB2312" w:cs="仿宋_GB2312"/>
              </w:rPr>
            </w:pPr>
          </w:p>
          <w:p w:rsidR="00C04148" w:rsidRDefault="00AE42E9">
            <w:pPr>
              <w:pStyle w:val="a4"/>
              <w:widowControl/>
              <w:spacing w:before="0" w:beforeAutospacing="0" w:after="0" w:afterAutospacing="0" w:line="360" w:lineRule="exact"/>
              <w:jc w:val="center"/>
              <w:rPr>
                <w:rFonts w:ascii="仿宋_GB2312" w:eastAsia="仿宋_GB2312" w:hAnsi="仿宋_GB2312" w:cs="仿宋_GB2312"/>
              </w:rPr>
            </w:pPr>
            <w:r>
              <w:rPr>
                <w:rFonts w:ascii="仿宋_GB2312" w:eastAsia="仿宋_GB2312" w:hAnsi="仿宋_GB2312" w:cs="仿宋_GB2312" w:hint="eastAsia"/>
              </w:rPr>
              <w:lastRenderedPageBreak/>
              <w:t>浙江文化研究工程项目研究</w:t>
            </w: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lastRenderedPageBreak/>
              <w:t>研究类项目</w:t>
            </w:r>
          </w:p>
        </w:tc>
        <w:tc>
          <w:tcPr>
            <w:tcW w:w="1575" w:type="dxa"/>
            <w:vMerge w:val="restart"/>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公开竞争为</w:t>
            </w:r>
            <w:r>
              <w:rPr>
                <w:rFonts w:ascii="仿宋_GB2312" w:eastAsia="仿宋_GB2312" w:hAnsi="仿宋_GB2312" w:cs="仿宋_GB2312" w:hint="eastAsia"/>
              </w:rPr>
              <w:lastRenderedPageBreak/>
              <w:t>主，择优委托为辅</w:t>
            </w: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lastRenderedPageBreak/>
              <w:t>10-15</w:t>
            </w:r>
            <w:r>
              <w:rPr>
                <w:rFonts w:ascii="仿宋_GB2312" w:eastAsia="仿宋_GB2312" w:hAnsi="仿宋_GB2312" w:cs="仿宋_GB2312" w:hint="eastAsia"/>
              </w:rPr>
              <w:t>万元</w:t>
            </w:r>
            <w:r>
              <w:rPr>
                <w:rFonts w:ascii="仿宋_GB2312" w:eastAsia="仿宋_GB2312" w:hAnsi="仿宋_GB2312" w:cs="仿宋_GB2312" w:hint="eastAsia"/>
              </w:rPr>
              <w:t>/</w:t>
            </w:r>
            <w:r>
              <w:rPr>
                <w:rFonts w:ascii="仿宋_GB2312" w:eastAsia="仿宋_GB2312" w:hAnsi="仿宋_GB2312" w:cs="仿宋_GB2312" w:hint="eastAsia"/>
              </w:rPr>
              <w:t>册</w:t>
            </w:r>
          </w:p>
        </w:tc>
      </w:tr>
      <w:tr w:rsidR="00C04148">
        <w:trPr>
          <w:trHeight w:val="540"/>
          <w:jc w:val="center"/>
        </w:trPr>
        <w:tc>
          <w:tcPr>
            <w:tcW w:w="1376" w:type="dxa"/>
            <w:vMerge/>
            <w:tcBorders>
              <w:top w:val="nil"/>
              <w:left w:val="single" w:sz="4" w:space="0" w:color="auto"/>
              <w:bottom w:val="single" w:sz="4" w:space="0" w:color="auto"/>
              <w:right w:val="single" w:sz="4" w:space="0" w:color="auto"/>
            </w:tcBorders>
            <w:tcMar>
              <w:top w:w="0" w:type="dxa"/>
              <w:left w:w="70" w:type="dxa"/>
              <w:bottom w:w="0" w:type="dxa"/>
              <w:right w:w="70" w:type="dxa"/>
            </w:tcMar>
          </w:tcPr>
          <w:p w:rsidR="00C04148" w:rsidRDefault="00C04148">
            <w:pPr>
              <w:spacing w:line="360" w:lineRule="exact"/>
              <w:rPr>
                <w:rFonts w:ascii="仿宋_GB2312" w:eastAsia="仿宋_GB2312" w:hAnsi="仿宋_GB2312" w:cs="仿宋_GB2312"/>
                <w:sz w:val="24"/>
              </w:rPr>
            </w:pP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点校本、笺校本等古籍整理</w:t>
            </w:r>
            <w:r>
              <w:rPr>
                <w:rFonts w:ascii="仿宋_GB2312" w:eastAsia="仿宋_GB2312" w:hAnsi="仿宋_GB2312" w:cs="仿宋_GB2312" w:hint="eastAsia"/>
              </w:rPr>
              <w:t>/</w:t>
            </w:r>
            <w:r>
              <w:rPr>
                <w:rFonts w:ascii="仿宋_GB2312" w:eastAsia="仿宋_GB2312" w:hAnsi="仿宋_GB2312" w:cs="仿宋_GB2312" w:hint="eastAsia"/>
              </w:rPr>
              <w:t>研究</w:t>
            </w:r>
          </w:p>
        </w:tc>
        <w:tc>
          <w:tcPr>
            <w:tcW w:w="1575" w:type="dxa"/>
            <w:vMerge/>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widowControl/>
              <w:snapToGrid w:val="0"/>
              <w:spacing w:line="360" w:lineRule="exact"/>
              <w:rPr>
                <w:rFonts w:ascii="仿宋_GB2312" w:eastAsia="仿宋_GB2312" w:hAnsi="仿宋_GB2312" w:cs="仿宋_GB2312"/>
                <w:sz w:val="24"/>
              </w:rPr>
            </w:pP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7-15</w:t>
            </w:r>
            <w:r>
              <w:rPr>
                <w:rFonts w:ascii="仿宋_GB2312" w:eastAsia="仿宋_GB2312" w:hAnsi="仿宋_GB2312" w:cs="仿宋_GB2312" w:hint="eastAsia"/>
              </w:rPr>
              <w:t>万元</w:t>
            </w:r>
            <w:r>
              <w:rPr>
                <w:rFonts w:ascii="仿宋_GB2312" w:eastAsia="仿宋_GB2312" w:hAnsi="仿宋_GB2312" w:cs="仿宋_GB2312" w:hint="eastAsia"/>
              </w:rPr>
              <w:t>/</w:t>
            </w:r>
            <w:r>
              <w:rPr>
                <w:rFonts w:ascii="仿宋_GB2312" w:eastAsia="仿宋_GB2312" w:hAnsi="仿宋_GB2312" w:cs="仿宋_GB2312" w:hint="eastAsia"/>
              </w:rPr>
              <w:t>册</w:t>
            </w:r>
          </w:p>
        </w:tc>
      </w:tr>
      <w:tr w:rsidR="00C04148">
        <w:trPr>
          <w:trHeight w:val="365"/>
          <w:jc w:val="center"/>
        </w:trPr>
        <w:tc>
          <w:tcPr>
            <w:tcW w:w="1376" w:type="dxa"/>
            <w:vMerge/>
            <w:tcBorders>
              <w:top w:val="nil"/>
              <w:left w:val="single" w:sz="4" w:space="0" w:color="auto"/>
              <w:bottom w:val="single" w:sz="4" w:space="0" w:color="auto"/>
              <w:right w:val="single" w:sz="4" w:space="0" w:color="auto"/>
            </w:tcBorders>
            <w:tcMar>
              <w:top w:w="0" w:type="dxa"/>
              <w:left w:w="70" w:type="dxa"/>
              <w:bottom w:w="0" w:type="dxa"/>
              <w:right w:w="70" w:type="dxa"/>
            </w:tcMar>
          </w:tcPr>
          <w:p w:rsidR="00C04148" w:rsidRDefault="00C04148">
            <w:pPr>
              <w:spacing w:line="360" w:lineRule="exact"/>
              <w:rPr>
                <w:rFonts w:ascii="仿宋_GB2312" w:eastAsia="仿宋_GB2312" w:hAnsi="仿宋_GB2312" w:cs="仿宋_GB2312"/>
                <w:sz w:val="24"/>
              </w:rPr>
            </w:pP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标点本等古籍整理</w:t>
            </w:r>
            <w:r>
              <w:rPr>
                <w:rFonts w:ascii="仿宋_GB2312" w:eastAsia="仿宋_GB2312" w:hAnsi="仿宋_GB2312" w:cs="仿宋_GB2312" w:hint="eastAsia"/>
              </w:rPr>
              <w:t>/</w:t>
            </w:r>
            <w:r>
              <w:rPr>
                <w:rFonts w:ascii="仿宋_GB2312" w:eastAsia="仿宋_GB2312" w:hAnsi="仿宋_GB2312" w:cs="仿宋_GB2312" w:hint="eastAsia"/>
              </w:rPr>
              <w:t>研究</w:t>
            </w:r>
          </w:p>
        </w:tc>
        <w:tc>
          <w:tcPr>
            <w:tcW w:w="1575" w:type="dxa"/>
            <w:vMerge/>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widowControl/>
              <w:snapToGrid w:val="0"/>
              <w:spacing w:line="360" w:lineRule="exact"/>
              <w:rPr>
                <w:rFonts w:ascii="仿宋_GB2312" w:eastAsia="仿宋_GB2312" w:hAnsi="仿宋_GB2312" w:cs="仿宋_GB2312"/>
                <w:sz w:val="24"/>
              </w:rPr>
            </w:pP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4-8</w:t>
            </w:r>
            <w:r>
              <w:rPr>
                <w:rFonts w:ascii="仿宋_GB2312" w:eastAsia="仿宋_GB2312" w:hAnsi="仿宋_GB2312" w:cs="仿宋_GB2312" w:hint="eastAsia"/>
              </w:rPr>
              <w:t>万元</w:t>
            </w:r>
            <w:r>
              <w:rPr>
                <w:rFonts w:ascii="仿宋_GB2312" w:eastAsia="仿宋_GB2312" w:hAnsi="仿宋_GB2312" w:cs="仿宋_GB2312" w:hint="eastAsia"/>
              </w:rPr>
              <w:t>/</w:t>
            </w:r>
            <w:r>
              <w:rPr>
                <w:rFonts w:ascii="仿宋_GB2312" w:eastAsia="仿宋_GB2312" w:hAnsi="仿宋_GB2312" w:cs="仿宋_GB2312" w:hint="eastAsia"/>
              </w:rPr>
              <w:t>册</w:t>
            </w:r>
          </w:p>
        </w:tc>
      </w:tr>
      <w:tr w:rsidR="00C04148">
        <w:trPr>
          <w:trHeight w:val="590"/>
          <w:jc w:val="center"/>
        </w:trPr>
        <w:tc>
          <w:tcPr>
            <w:tcW w:w="1376" w:type="dxa"/>
            <w:vMerge/>
            <w:tcBorders>
              <w:top w:val="nil"/>
              <w:left w:val="single" w:sz="4" w:space="0" w:color="auto"/>
              <w:bottom w:val="single" w:sz="4" w:space="0" w:color="auto"/>
              <w:right w:val="single" w:sz="4" w:space="0" w:color="auto"/>
            </w:tcBorders>
            <w:tcMar>
              <w:top w:w="0" w:type="dxa"/>
              <w:left w:w="70" w:type="dxa"/>
              <w:bottom w:w="0" w:type="dxa"/>
              <w:right w:w="70" w:type="dxa"/>
            </w:tcMar>
          </w:tcPr>
          <w:p w:rsidR="00C04148" w:rsidRDefault="00C04148">
            <w:pPr>
              <w:spacing w:line="360" w:lineRule="exact"/>
              <w:rPr>
                <w:rFonts w:ascii="仿宋_GB2312" w:eastAsia="仿宋_GB2312" w:hAnsi="仿宋_GB2312" w:cs="仿宋_GB2312"/>
                <w:sz w:val="24"/>
              </w:rPr>
            </w:pPr>
          </w:p>
        </w:tc>
        <w:tc>
          <w:tcPr>
            <w:tcW w:w="2925"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文献稿本、抄本、资料等整理影印</w:t>
            </w:r>
          </w:p>
        </w:tc>
        <w:tc>
          <w:tcPr>
            <w:tcW w:w="1575" w:type="dxa"/>
            <w:vMerge/>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C04148">
            <w:pPr>
              <w:widowControl/>
              <w:snapToGrid w:val="0"/>
              <w:spacing w:line="360" w:lineRule="exact"/>
              <w:rPr>
                <w:rFonts w:ascii="仿宋_GB2312" w:eastAsia="仿宋_GB2312" w:hAnsi="仿宋_GB2312" w:cs="仿宋_GB2312"/>
                <w:sz w:val="24"/>
              </w:rPr>
            </w:pPr>
          </w:p>
        </w:tc>
        <w:tc>
          <w:tcPr>
            <w:tcW w:w="3776" w:type="dxa"/>
            <w:tcBorders>
              <w:top w:val="nil"/>
              <w:left w:val="nil"/>
              <w:bottom w:val="single" w:sz="4" w:space="0" w:color="auto"/>
              <w:right w:val="single" w:sz="4" w:space="0" w:color="auto"/>
            </w:tcBorders>
            <w:tcMar>
              <w:top w:w="0" w:type="dxa"/>
              <w:left w:w="70" w:type="dxa"/>
              <w:bottom w:w="0" w:type="dxa"/>
              <w:right w:w="70" w:type="dxa"/>
            </w:tcMar>
            <w:vAlign w:val="center"/>
          </w:tcPr>
          <w:p w:rsidR="00C04148" w:rsidRDefault="00AE42E9">
            <w:pPr>
              <w:pStyle w:val="a4"/>
              <w:widowControl/>
              <w:snapToGrid w:val="0"/>
              <w:spacing w:before="0" w:beforeAutospacing="0" w:after="0" w:afterAutospacing="0" w:line="360" w:lineRule="exact"/>
              <w:jc w:val="both"/>
              <w:rPr>
                <w:rFonts w:ascii="仿宋_GB2312" w:eastAsia="仿宋_GB2312" w:hAnsi="仿宋_GB2312" w:cs="仿宋_GB2312"/>
              </w:rPr>
            </w:pPr>
            <w:r>
              <w:rPr>
                <w:rFonts w:ascii="仿宋_GB2312" w:eastAsia="仿宋_GB2312" w:hAnsi="仿宋_GB2312" w:cs="仿宋_GB2312" w:hint="eastAsia"/>
              </w:rPr>
              <w:t>0.5-1</w:t>
            </w:r>
            <w:r>
              <w:rPr>
                <w:rFonts w:ascii="仿宋_GB2312" w:eastAsia="仿宋_GB2312" w:hAnsi="仿宋_GB2312" w:cs="仿宋_GB2312" w:hint="eastAsia"/>
              </w:rPr>
              <w:t>万元</w:t>
            </w:r>
            <w:bookmarkStart w:id="0" w:name="_GoBack"/>
            <w:bookmarkEnd w:id="0"/>
            <w:r>
              <w:rPr>
                <w:rFonts w:ascii="仿宋_GB2312" w:eastAsia="仿宋_GB2312" w:hAnsi="仿宋_GB2312" w:cs="仿宋_GB2312" w:hint="eastAsia"/>
              </w:rPr>
              <w:t>/</w:t>
            </w:r>
            <w:r>
              <w:rPr>
                <w:rFonts w:ascii="仿宋_GB2312" w:eastAsia="仿宋_GB2312" w:hAnsi="仿宋_GB2312" w:cs="仿宋_GB2312" w:hint="eastAsia"/>
              </w:rPr>
              <w:t>册</w:t>
            </w:r>
          </w:p>
        </w:tc>
      </w:tr>
    </w:tbl>
    <w:p w:rsidR="00C04148" w:rsidRDefault="00C04148">
      <w:pPr>
        <w:tabs>
          <w:tab w:val="left" w:pos="1003"/>
        </w:tabs>
        <w:snapToGrid w:val="0"/>
        <w:spacing w:line="20" w:lineRule="exact"/>
        <w:jc w:val="left"/>
        <w:rPr>
          <w:rFonts w:ascii="Calibri" w:hAnsi="Calibri"/>
          <w:szCs w:val="22"/>
        </w:rPr>
      </w:pPr>
    </w:p>
    <w:p w:rsidR="00C04148" w:rsidRDefault="00C04148">
      <w:pPr>
        <w:jc w:val="left"/>
      </w:pPr>
    </w:p>
    <w:p w:rsidR="00C04148" w:rsidRDefault="00C04148">
      <w:pPr>
        <w:pStyle w:val="a0"/>
        <w:rPr>
          <w:sz w:val="21"/>
          <w:szCs w:val="24"/>
        </w:rPr>
      </w:pPr>
    </w:p>
    <w:p w:rsidR="00C04148" w:rsidRDefault="00C04148"/>
    <w:sectPr w:rsidR="00C04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仿宋"/>
    <w:charset w:val="00"/>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FC83E"/>
    <w:rsid w:val="00AE42E9"/>
    <w:rsid w:val="00C04148"/>
    <w:rsid w:val="63EFC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unhideWhenUsed/>
    <w:qFormat/>
    <w:pPr>
      <w:ind w:left="214"/>
    </w:pPr>
    <w:rPr>
      <w:sz w:val="32"/>
      <w:szCs w:val="32"/>
    </w:rPr>
  </w:style>
  <w:style w:type="paragraph" w:styleId="7">
    <w:name w:val="index 7"/>
    <w:basedOn w:val="a"/>
    <w:next w:val="a"/>
    <w:qFormat/>
    <w:pPr>
      <w:ind w:left="2520"/>
    </w:pPr>
    <w:rPr>
      <w:rFonts w:ascii="Calibri" w:hAnsi="Calibri"/>
    </w:rPr>
  </w:style>
  <w:style w:type="paragraph" w:styleId="a4">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unhideWhenUsed/>
    <w:qFormat/>
    <w:pPr>
      <w:ind w:left="214"/>
    </w:pPr>
    <w:rPr>
      <w:sz w:val="32"/>
      <w:szCs w:val="32"/>
    </w:rPr>
  </w:style>
  <w:style w:type="paragraph" w:styleId="7">
    <w:name w:val="index 7"/>
    <w:basedOn w:val="a"/>
    <w:next w:val="a"/>
    <w:qFormat/>
    <w:pPr>
      <w:ind w:left="2520"/>
    </w:pPr>
    <w:rPr>
      <w:rFonts w:ascii="Calibri" w:hAnsi="Calibri"/>
    </w:rPr>
  </w:style>
  <w:style w:type="paragraph" w:styleId="a4">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Company>china</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歪才公子</dc:creator>
  <cp:lastModifiedBy>Administrator</cp:lastModifiedBy>
  <cp:revision>3</cp:revision>
  <dcterms:created xsi:type="dcterms:W3CDTF">2022-12-05T19:51:00Z</dcterms:created>
  <dcterms:modified xsi:type="dcterms:W3CDTF">2022-12-06T00:45:00Z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736366667279C25536DB8D6308EB6BC1</vt:lpwstr>
  </property>
</Properties>
</file>